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3D3D8" w14:textId="5B8C1CBB" w:rsidR="002A40EA" w:rsidRDefault="006915AB" w:rsidP="00421CBD">
      <w:pPr>
        <w:shd w:val="clear" w:color="auto" w:fill="FFFFFF"/>
        <w:spacing w:before="2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Общество с ограниченной ответственностью</w:t>
      </w:r>
      <w:r w:rsidR="002A40E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10817EA6" w14:textId="10FE205D" w:rsidR="00862AAF" w:rsidRDefault="002A40EA" w:rsidP="002A40EA">
      <w:pPr>
        <w:shd w:val="clear" w:color="auto" w:fill="FFFFFF"/>
        <w:spacing w:before="2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«</w:t>
      </w:r>
      <w:r w:rsidR="00254EE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Сервис -Д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»</w:t>
      </w:r>
    </w:p>
    <w:p w14:paraId="136ADD39" w14:textId="796BC96B" w:rsidR="00421CBD" w:rsidRPr="00421CBD" w:rsidRDefault="00421CBD" w:rsidP="00421CBD">
      <w:pPr>
        <w:shd w:val="clear" w:color="auto" w:fill="FFFFFF"/>
        <w:spacing w:before="2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ОГРН </w:t>
      </w:r>
      <w:r w:rsidR="002A40E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 w:rsidR="00B1638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 w:rsidR="00254EE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55009003544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ИНН </w:t>
      </w:r>
      <w:r w:rsidR="00254EE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5009100320</w:t>
      </w:r>
    </w:p>
    <w:p w14:paraId="00B6C520" w14:textId="77777777" w:rsidR="00421CBD" w:rsidRPr="00F62FB0" w:rsidRDefault="00766227" w:rsidP="00421CBD">
      <w:pPr>
        <w:shd w:val="clear" w:color="auto" w:fill="FFFFFF"/>
        <w:spacing w:before="2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</w:pPr>
      <w:r w:rsidRPr="00F62FB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Пояснения к бухгалтерскому балансу на 31.12.2025 </w:t>
      </w:r>
    </w:p>
    <w:p w14:paraId="52E463D2" w14:textId="7EB50010" w:rsidR="00862AAF" w:rsidRPr="00F62FB0" w:rsidRDefault="00766227" w:rsidP="00421CBD">
      <w:pPr>
        <w:shd w:val="clear" w:color="auto" w:fill="FFFFFF"/>
        <w:spacing w:before="2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F62FB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 отчету о финансовых результатах за 2025 год</w:t>
      </w:r>
    </w:p>
    <w:p w14:paraId="29A4BA38" w14:textId="77777777" w:rsidR="00970C9E" w:rsidRPr="00970C9E" w:rsidRDefault="00766227" w:rsidP="00421CBD">
      <w:pPr>
        <w:numPr>
          <w:ilvl w:val="0"/>
          <w:numId w:val="3"/>
        </w:numPr>
        <w:shd w:val="clear" w:color="auto" w:fill="FFFFFF"/>
        <w:spacing w:before="200"/>
        <w:jc w:val="both"/>
      </w:pPr>
      <w:r>
        <w:rPr>
          <w:rFonts w:ascii="Times New Roman" w:eastAsia="Times New Roman" w:hAnsi="Times New Roman" w:cs="Times New Roman"/>
          <w:b/>
          <w:bCs/>
        </w:rPr>
        <w:t>Краткая характеристика деятельности организации</w:t>
      </w:r>
    </w:p>
    <w:p w14:paraId="30247C57" w14:textId="44A78696" w:rsidR="006915AB" w:rsidRDefault="00766227" w:rsidP="00970C9E">
      <w:pPr>
        <w:shd w:val="clear" w:color="auto" w:fill="FFFFFF"/>
        <w:spacing w:before="20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 Сокращенное наименование — </w:t>
      </w:r>
      <w:r w:rsidR="006915AB">
        <w:rPr>
          <w:rFonts w:ascii="Times New Roman" w:eastAsia="Times New Roman" w:hAnsi="Times New Roman" w:cs="Times New Roman"/>
          <w:sz w:val="28"/>
          <w:szCs w:val="28"/>
          <w:lang w:val="ru-RU"/>
        </w:rPr>
        <w:t>ОО</w:t>
      </w:r>
      <w:r w:rsidR="002A40EA" w:rsidRPr="002A40EA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254EE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Сервис-Д</w:t>
      </w: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14:paraId="20A81CE4" w14:textId="29A7DEDE" w:rsidR="00970C9E" w:rsidRPr="002A40EA" w:rsidRDefault="00766227" w:rsidP="00970C9E">
      <w:pPr>
        <w:shd w:val="clear" w:color="auto" w:fill="FFFFFF"/>
        <w:spacing w:before="20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Юридический адрес </w:t>
      </w:r>
      <w:r w:rsidR="00970C9E" w:rsidRPr="002A40E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="00CF2E7F" w:rsidRPr="002A40EA">
        <w:rPr>
          <w:rFonts w:ascii="Times New Roman" w:eastAsia="Times New Roman" w:hAnsi="Times New Roman" w:cs="Times New Roman"/>
          <w:sz w:val="28"/>
          <w:szCs w:val="28"/>
        </w:rPr>
        <w:t>1</w:t>
      </w:r>
      <w:r w:rsidR="00254EE7">
        <w:rPr>
          <w:rFonts w:ascii="Times New Roman" w:eastAsia="Times New Roman" w:hAnsi="Times New Roman" w:cs="Times New Roman"/>
          <w:sz w:val="28"/>
          <w:szCs w:val="28"/>
          <w:lang w:val="ru-RU"/>
        </w:rPr>
        <w:t>19034</w:t>
      </w:r>
      <w:r w:rsidR="00CF2E7F" w:rsidRPr="002A40EA">
        <w:rPr>
          <w:rFonts w:ascii="Times New Roman" w:eastAsia="Times New Roman" w:hAnsi="Times New Roman" w:cs="Times New Roman"/>
          <w:sz w:val="28"/>
          <w:szCs w:val="28"/>
        </w:rPr>
        <w:t xml:space="preserve">, Город Москва, </w:t>
      </w:r>
      <w:r w:rsidR="00254EE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Чистый </w:t>
      </w:r>
      <w:r w:rsidR="002A40EA">
        <w:rPr>
          <w:rFonts w:ascii="Times New Roman" w:eastAsia="Times New Roman" w:hAnsi="Times New Roman" w:cs="Times New Roman"/>
          <w:sz w:val="28"/>
          <w:szCs w:val="28"/>
          <w:lang w:val="ru-RU"/>
        </w:rPr>
        <w:t>переулок, д.</w:t>
      </w:r>
      <w:r w:rsidR="00254EE7">
        <w:rPr>
          <w:rFonts w:ascii="Times New Roman" w:eastAsia="Times New Roman" w:hAnsi="Times New Roman" w:cs="Times New Roman"/>
          <w:sz w:val="28"/>
          <w:szCs w:val="28"/>
          <w:lang w:val="ru-RU"/>
        </w:rPr>
        <w:t>6, стр. 1, кв.32</w:t>
      </w:r>
    </w:p>
    <w:p w14:paraId="1ED64E00" w14:textId="12420D00" w:rsidR="00862AAF" w:rsidRPr="002A40EA" w:rsidRDefault="00766227" w:rsidP="00970C9E">
      <w:pPr>
        <w:shd w:val="clear" w:color="auto" w:fill="FFFFFF"/>
        <w:spacing w:before="200"/>
        <w:ind w:left="360"/>
        <w:jc w:val="both"/>
        <w:rPr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>Дата государственной регистрации —</w:t>
      </w:r>
      <w:r w:rsidR="00254EE7">
        <w:rPr>
          <w:rFonts w:ascii="Times New Roman" w:eastAsia="Times New Roman" w:hAnsi="Times New Roman" w:cs="Times New Roman"/>
          <w:sz w:val="28"/>
          <w:szCs w:val="28"/>
          <w:lang w:val="ru-RU"/>
        </w:rPr>
        <w:t>19.08.15</w:t>
      </w: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14:paraId="6365EB7C" w14:textId="414FC024" w:rsidR="006915AB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Основной вид деятельности </w:t>
      </w:r>
      <w:r w:rsidR="00421CBD" w:rsidRPr="002A40E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(ОКВЭД) </w:t>
      </w:r>
      <w:r w:rsidR="00254EE7">
        <w:rPr>
          <w:rFonts w:ascii="Times New Roman" w:eastAsia="Times New Roman" w:hAnsi="Times New Roman" w:cs="Times New Roman"/>
          <w:sz w:val="28"/>
          <w:szCs w:val="28"/>
          <w:lang w:val="ru-RU"/>
        </w:rPr>
        <w:t>82.30</w:t>
      </w:r>
      <w:r w:rsidR="00CF2E7F" w:rsidRPr="002A40E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254EE7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 по организации конференций и выставок.</w:t>
      </w:r>
    </w:p>
    <w:p w14:paraId="1E7B2042" w14:textId="61390446" w:rsidR="00862AAF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>Обособленных подразделений нет. Численность сотрудников по состоянию на 31 декабря 2025 года составляет</w:t>
      </w:r>
      <w:r w:rsidR="00DB2AB8" w:rsidRPr="002A40E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0EA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 человек.</w:t>
      </w:r>
    </w:p>
    <w:p w14:paraId="2ED2D0FD" w14:textId="2B8AF913" w:rsid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Уставный капитал составляет </w:t>
      </w:r>
      <w:r w:rsidR="006915AB">
        <w:rPr>
          <w:rFonts w:ascii="Times New Roman" w:eastAsia="Times New Roman" w:hAnsi="Times New Roman" w:cs="Times New Roman"/>
          <w:sz w:val="28"/>
          <w:szCs w:val="28"/>
          <w:lang w:val="ru-RU"/>
        </w:rPr>
        <w:t>10</w:t>
      </w: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тыс. руб. </w:t>
      </w:r>
    </w:p>
    <w:p w14:paraId="34023F0C" w14:textId="5A55666C" w:rsidR="00421CBD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Генеральный директор общества — </w:t>
      </w:r>
      <w:r w:rsidR="00254EE7">
        <w:rPr>
          <w:rFonts w:ascii="Times New Roman" w:eastAsia="Times New Roman" w:hAnsi="Times New Roman" w:cs="Times New Roman"/>
          <w:sz w:val="28"/>
          <w:szCs w:val="28"/>
          <w:lang w:val="ru-RU"/>
        </w:rPr>
        <w:t>Денисов Юрий Аркадьевич</w:t>
      </w: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65F2ABB" w14:textId="62EFD42A" w:rsidR="00421CBD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Главный бухгалтер </w:t>
      </w:r>
      <w:r w:rsidR="00254EE7">
        <w:rPr>
          <w:rFonts w:ascii="Times New Roman" w:eastAsia="Times New Roman" w:hAnsi="Times New Roman" w:cs="Times New Roman"/>
          <w:sz w:val="28"/>
          <w:szCs w:val="28"/>
          <w:lang w:val="ru-RU"/>
        </w:rPr>
        <w:t>-Денисов Юрий Аркадьевич</w:t>
      </w:r>
      <w:r w:rsidR="00421CBD" w:rsidRPr="002A40E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28F8B4" w14:textId="0BF7084D" w:rsidR="00862AAF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>Бухгалтерская отчетность компании не подлежит обязательному аудиту.</w:t>
      </w:r>
    </w:p>
    <w:p w14:paraId="2FC39AF4" w14:textId="6321E0AC" w:rsidR="00AE04C4" w:rsidRPr="00AE04C4" w:rsidRDefault="00766227" w:rsidP="00421CBD">
      <w:pPr>
        <w:numPr>
          <w:ilvl w:val="0"/>
          <w:numId w:val="3"/>
        </w:num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04C4">
        <w:rPr>
          <w:rFonts w:ascii="Times New Roman" w:eastAsia="Times New Roman" w:hAnsi="Times New Roman" w:cs="Times New Roman"/>
          <w:b/>
          <w:bCs/>
          <w:sz w:val="28"/>
          <w:szCs w:val="28"/>
        </w:rPr>
        <w:t>Стандарты, по которым составлена отчетность</w:t>
      </w:r>
      <w:r w:rsidRPr="00AE04C4">
        <w:rPr>
          <w:rFonts w:ascii="Times New Roman" w:eastAsia="Times New Roman" w:hAnsi="Times New Roman" w:cs="Times New Roman"/>
          <w:sz w:val="28"/>
          <w:szCs w:val="28"/>
        </w:rPr>
        <w:t xml:space="preserve">. Отчетность составлена в соответствии с РСБУ — Российскими стандартами бухгалтерского учета.  </w:t>
      </w:r>
      <w:r w:rsidR="00AE04C4">
        <w:rPr>
          <w:rFonts w:ascii="Times New Roman" w:eastAsia="Times New Roman" w:hAnsi="Times New Roman" w:cs="Times New Roman"/>
          <w:sz w:val="28"/>
          <w:szCs w:val="28"/>
          <w:lang w:val="ru-RU"/>
        </w:rPr>
        <w:t>Общество относится к субъектам малого предпринимательства и в соответствии с Федеральным законом от 06.12.2011 №402-ФЗ «О бухгалтерском учете» имеет право на применение упрощенных способов ведения бухгалтерского учета и составления бухгалтерской (финансовой) отчетности.</w:t>
      </w:r>
    </w:p>
    <w:p w14:paraId="42DB4765" w14:textId="30C09BB5" w:rsidR="00862AAF" w:rsidRPr="00AE04C4" w:rsidRDefault="00AE04C4" w:rsidP="00421CBD">
      <w:pPr>
        <w:numPr>
          <w:ilvl w:val="0"/>
          <w:numId w:val="3"/>
        </w:num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915AB">
        <w:rPr>
          <w:rFonts w:ascii="Times New Roman" w:eastAsia="Times New Roman" w:hAnsi="Times New Roman" w:cs="Times New Roman"/>
          <w:sz w:val="28"/>
          <w:szCs w:val="28"/>
          <w:lang w:val="ru-RU"/>
        </w:rPr>
        <w:t>ОО</w:t>
      </w:r>
      <w:r w:rsidRPr="00AE04C4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766227" w:rsidRPr="00AE04C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254EE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Сервис -Д</w:t>
      </w:r>
      <w:r w:rsidR="00766227" w:rsidRPr="00AE04C4">
        <w:rPr>
          <w:rFonts w:ascii="Times New Roman" w:eastAsia="Times New Roman" w:hAnsi="Times New Roman" w:cs="Times New Roman"/>
          <w:sz w:val="28"/>
          <w:szCs w:val="28"/>
        </w:rPr>
        <w:t>» применяет</w:t>
      </w:r>
      <w:r w:rsidR="00DB2AB8" w:rsidRPr="00AE04C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66227" w:rsidRPr="00AE04C4">
        <w:rPr>
          <w:rFonts w:ascii="Times New Roman" w:eastAsia="Times New Roman" w:hAnsi="Times New Roman" w:cs="Times New Roman"/>
          <w:sz w:val="28"/>
          <w:szCs w:val="28"/>
        </w:rPr>
        <w:t>ПБУ 9/99 «Доходы организации», ПБУ 10/99 «Расходы организации», а также прочие обязательные стандарты и положения.</w:t>
      </w:r>
    </w:p>
    <w:p w14:paraId="56C8EC26" w14:textId="02FA089C" w:rsidR="00AE04C4" w:rsidRDefault="00AE04C4" w:rsidP="00AE04C4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Общество</w:t>
      </w:r>
      <w:r w:rsidR="00766227" w:rsidRPr="002A40EA">
        <w:rPr>
          <w:rFonts w:ascii="Times New Roman" w:eastAsia="Times New Roman" w:hAnsi="Times New Roman" w:cs="Times New Roman"/>
          <w:sz w:val="28"/>
          <w:szCs w:val="28"/>
        </w:rPr>
        <w:t xml:space="preserve"> не применяет ПБУ 8/2010 «Оценочные обязательства, условные обязательства и условные активы»</w:t>
      </w:r>
      <w:r w:rsidR="000529B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B163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915AB">
        <w:rPr>
          <w:rFonts w:ascii="Times New Roman" w:eastAsia="Times New Roman" w:hAnsi="Times New Roman" w:cs="Times New Roman"/>
          <w:sz w:val="28"/>
          <w:szCs w:val="28"/>
          <w:lang w:val="ru-RU"/>
        </w:rPr>
        <w:t>ПБУ 18/02 «Учет расчетов по налогу на прибыль»,</w:t>
      </w:r>
      <w:r w:rsidR="00766227" w:rsidRPr="002A40EA">
        <w:rPr>
          <w:rFonts w:ascii="Times New Roman" w:eastAsia="Times New Roman" w:hAnsi="Times New Roman" w:cs="Times New Roman"/>
          <w:sz w:val="28"/>
          <w:szCs w:val="28"/>
        </w:rPr>
        <w:t xml:space="preserve"> так как вправе вести упрощенный бухучет</w:t>
      </w:r>
    </w:p>
    <w:p w14:paraId="5B7A9B94" w14:textId="77777777" w:rsidR="00862AAF" w:rsidRPr="002A40EA" w:rsidRDefault="00766227" w:rsidP="00421CBD">
      <w:pPr>
        <w:numPr>
          <w:ilvl w:val="0"/>
          <w:numId w:val="4"/>
        </w:num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b/>
          <w:bCs/>
          <w:sz w:val="28"/>
          <w:szCs w:val="28"/>
        </w:rPr>
        <w:t>4. Основные факторы, повлиявшие на результаты деятельности</w:t>
      </w:r>
    </w:p>
    <w:p w14:paraId="09AF7122" w14:textId="5792DF31" w:rsidR="00862AAF" w:rsidRPr="002A40EA" w:rsidRDefault="00421CBD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</w:t>
      </w:r>
      <w:r w:rsidR="00766227" w:rsidRPr="002A40EA">
        <w:rPr>
          <w:rFonts w:ascii="Times New Roman" w:eastAsia="Times New Roman" w:hAnsi="Times New Roman" w:cs="Times New Roman"/>
          <w:sz w:val="28"/>
          <w:szCs w:val="28"/>
        </w:rPr>
        <w:t xml:space="preserve">Выручка организации за отчетный период </w:t>
      </w:r>
      <w:r w:rsidR="006915AB">
        <w:rPr>
          <w:rFonts w:ascii="Times New Roman" w:eastAsia="Times New Roman" w:hAnsi="Times New Roman" w:cs="Times New Roman"/>
          <w:sz w:val="28"/>
          <w:szCs w:val="28"/>
          <w:lang w:val="ru-RU"/>
        </w:rPr>
        <w:t>отсутствуе</w:t>
      </w:r>
      <w:r w:rsidR="00B1638B">
        <w:rPr>
          <w:rFonts w:ascii="Times New Roman" w:eastAsia="Times New Roman" w:hAnsi="Times New Roman" w:cs="Times New Roman"/>
          <w:sz w:val="28"/>
          <w:szCs w:val="28"/>
          <w:lang w:val="ru-RU"/>
        </w:rPr>
        <w:t>т, так как общество в 2025 г. не вело финансово-хозяйственную деятельность.</w:t>
      </w:r>
    </w:p>
    <w:p w14:paraId="2A93DC33" w14:textId="77777777" w:rsidR="00862AAF" w:rsidRPr="002A40EA" w:rsidRDefault="00766227" w:rsidP="00421CBD">
      <w:pPr>
        <w:numPr>
          <w:ilvl w:val="0"/>
          <w:numId w:val="5"/>
        </w:num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b/>
          <w:bCs/>
          <w:sz w:val="28"/>
          <w:szCs w:val="28"/>
        </w:rPr>
        <w:t>5. Информация о деятельности</w:t>
      </w:r>
    </w:p>
    <w:p w14:paraId="057368DF" w14:textId="77777777" w:rsidR="00862AAF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>Компания планирует продолжать вести деятельность в 2026 году. Ликвидация или реорганизация не предусмотрена. Бухгалтерская (финансовая) отчетность за отчетный год была подготовлена на основе принципа непрерывности деятельности.</w:t>
      </w:r>
    </w:p>
    <w:p w14:paraId="09EBBDE5" w14:textId="77777777" w:rsidR="00421CBD" w:rsidRPr="002A40EA" w:rsidRDefault="00421CBD" w:rsidP="00421CBD">
      <w:pPr>
        <w:numPr>
          <w:ilvl w:val="0"/>
          <w:numId w:val="1"/>
        </w:numPr>
        <w:shd w:val="clear" w:color="auto" w:fill="FFFFFF"/>
        <w:spacing w:before="2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b/>
          <w:bCs/>
          <w:sz w:val="28"/>
          <w:szCs w:val="28"/>
        </w:rPr>
        <w:t>6. Учетная политика</w:t>
      </w:r>
    </w:p>
    <w:p w14:paraId="576BCFC9" w14:textId="77777777" w:rsidR="00421CBD" w:rsidRPr="002A40EA" w:rsidRDefault="00421CBD" w:rsidP="00421CBD">
      <w:pPr>
        <w:numPr>
          <w:ilvl w:val="0"/>
          <w:numId w:val="1"/>
        </w:numPr>
        <w:shd w:val="clear" w:color="auto" w:fill="FFFFFF"/>
        <w:spacing w:before="2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0470" w:type="dxa"/>
        <w:tblInd w:w="-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0"/>
        <w:gridCol w:w="5460"/>
        <w:gridCol w:w="2760"/>
      </w:tblGrid>
      <w:tr w:rsidR="00421CBD" w:rsidRPr="002A40EA" w14:paraId="55AAA483" w14:textId="77777777" w:rsidTr="00F23320"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0B250" w14:textId="77777777" w:rsidR="00421CBD" w:rsidRPr="002A40EA" w:rsidRDefault="00421CBD" w:rsidP="00F233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  <w:t>Объект учета</w:t>
            </w:r>
          </w:p>
        </w:tc>
        <w:tc>
          <w:tcPr>
            <w:tcW w:w="5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2582C6" w14:textId="77777777" w:rsidR="00421CBD" w:rsidRPr="002A40EA" w:rsidRDefault="00421CBD" w:rsidP="00F23320">
            <w:pPr>
              <w:widowControl w:val="0"/>
              <w:spacing w:before="20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Учетная политика</w:t>
            </w:r>
          </w:p>
        </w:tc>
        <w:tc>
          <w:tcPr>
            <w:tcW w:w="27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16CC5C" w14:textId="77777777" w:rsidR="00421CBD" w:rsidRPr="002A40EA" w:rsidRDefault="00421CBD" w:rsidP="00F23320">
            <w:pPr>
              <w:widowControl w:val="0"/>
              <w:spacing w:before="20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Основание</w:t>
            </w:r>
          </w:p>
        </w:tc>
      </w:tr>
      <w:tr w:rsidR="00421CBD" w:rsidRPr="002A40EA" w14:paraId="574212AA" w14:textId="77777777" w:rsidTr="00F23320"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60D2F" w14:textId="77777777" w:rsidR="00421CBD" w:rsidRPr="002A40EA" w:rsidRDefault="00421CBD" w:rsidP="00F23320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средства</w:t>
            </w:r>
          </w:p>
        </w:tc>
        <w:tc>
          <w:tcPr>
            <w:tcW w:w="54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48483" w14:textId="77777777" w:rsidR="00421CBD" w:rsidRPr="002A40EA" w:rsidRDefault="00421CBD" w:rsidP="00F23320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>1. Организация не применяет ФСБУ 6/2020 в отношении активов, стоимость которых не превышает 100 000 руб. за единицу. Затраты на приобретение, создание указанных активов признаются расходами периода, в котором они понесены. 2. После признания объект основных средств оценивается в бухгалтерском учете по первоначальной стоимости. Переоценка не производится. 3. Амортизация по объектам основных средств начисляется ежемесячно линейным способом</w:t>
            </w:r>
          </w:p>
        </w:tc>
        <w:tc>
          <w:tcPr>
            <w:tcW w:w="2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C7786" w14:textId="77777777" w:rsidR="00421CBD" w:rsidRPr="002A40EA" w:rsidRDefault="00421CBD" w:rsidP="00F23320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>Пункты 5, 13,  32 и 35 ФСБУ 6/2020</w:t>
            </w:r>
          </w:p>
        </w:tc>
      </w:tr>
      <w:tr w:rsidR="00421CBD" w:rsidRPr="002A40EA" w14:paraId="018C1FBE" w14:textId="77777777" w:rsidTr="00F23320"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2EC6F" w14:textId="77777777" w:rsidR="00421CBD" w:rsidRPr="002A40EA" w:rsidRDefault="00421CBD" w:rsidP="00F23320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Материально‑производственные запасы</w:t>
            </w:r>
          </w:p>
        </w:tc>
        <w:tc>
          <w:tcPr>
            <w:tcW w:w="54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52EA5" w14:textId="77777777" w:rsidR="00421CBD" w:rsidRPr="002A40EA" w:rsidRDefault="00421CBD" w:rsidP="00F23320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В себестоимость приобретенных запасов включаются только уплаченные или подлежащие уплате при приобретении запасов суммы без учета скидок и премий. </w:t>
            </w: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 Затраты на приобретение материалов отражаются на счете 10 «Материалы». Счета 15 и 16 не используются. 3. При реализации и ином выбытии все группы запасов оцениваются по средней себестоимости. 4. Организация не применяет ФСБУ 5/2019 в отношении запасов, предназначенных для управленческих нужд. К таким запасам относятся канцелярские принадлежности, бумага и подарки партнерам</w:t>
            </w:r>
          </w:p>
        </w:tc>
        <w:tc>
          <w:tcPr>
            <w:tcW w:w="2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9B655B" w14:textId="77777777" w:rsidR="00421CBD" w:rsidRPr="002A40EA" w:rsidRDefault="00421CBD" w:rsidP="00F23320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Пункты 6, 13, 17, 26 ФСБУ 5/2019</w:t>
            </w:r>
          </w:p>
        </w:tc>
      </w:tr>
      <w:tr w:rsidR="00421CBD" w:rsidRPr="002A40EA" w14:paraId="26F8FCD1" w14:textId="77777777" w:rsidTr="00F23320"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A5AAB" w14:textId="77777777" w:rsidR="00421CBD" w:rsidRPr="002A40EA" w:rsidRDefault="00421CBD" w:rsidP="00F23320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Проценты</w:t>
            </w:r>
          </w:p>
        </w:tc>
        <w:tc>
          <w:tcPr>
            <w:tcW w:w="54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53720" w14:textId="77777777" w:rsidR="00421CBD" w:rsidRPr="002A40EA" w:rsidRDefault="00421CBD" w:rsidP="00F23320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Проценты по всем займам, в том числе связанным с приобретением, сооружением или изготовлением инвестиционного актива, учитываются в составе прочих расходов</w:t>
            </w:r>
          </w:p>
        </w:tc>
        <w:tc>
          <w:tcPr>
            <w:tcW w:w="2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0A650" w14:textId="77777777" w:rsidR="00421CBD" w:rsidRPr="002A40EA" w:rsidRDefault="00421CBD" w:rsidP="00F233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>Пункт 7 ПБУ 15/2008</w:t>
            </w:r>
          </w:p>
        </w:tc>
      </w:tr>
      <w:tr w:rsidR="00421CBD" w:rsidRPr="002A40EA" w14:paraId="0DD249F4" w14:textId="77777777" w:rsidTr="00F23320"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7A8C8" w14:textId="77777777" w:rsidR="00421CBD" w:rsidRPr="002A40EA" w:rsidRDefault="00421CBD" w:rsidP="00F23320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54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2C5BD" w14:textId="7B0E293E" w:rsidR="00421CBD" w:rsidRPr="002A40EA" w:rsidRDefault="00421CBD" w:rsidP="00421CBD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Расходы на </w:t>
            </w: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оказание услуг </w:t>
            </w: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ежемесячно списываются в полном объеме с кредита счета </w:t>
            </w: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26</w:t>
            </w: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Общехозяйственные расходы</w:t>
            </w: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>» в дебет счета 90 «Продажи»</w:t>
            </w:r>
          </w:p>
        </w:tc>
        <w:tc>
          <w:tcPr>
            <w:tcW w:w="2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8CFA2" w14:textId="77777777" w:rsidR="00421CBD" w:rsidRPr="002A40EA" w:rsidRDefault="00421CBD" w:rsidP="00F23320">
            <w:pPr>
              <w:spacing w:before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0EA">
              <w:rPr>
                <w:rFonts w:ascii="Times New Roman" w:eastAsia="Times New Roman" w:hAnsi="Times New Roman" w:cs="Times New Roman"/>
                <w:sz w:val="28"/>
                <w:szCs w:val="28"/>
              </w:rPr>
              <w:t>План счетов бухгалтерского учета и Инструкция по его применению (приказ Минфина от 31.10.2000 № 94н), пункт 7 ПБУ 1/2008</w:t>
            </w:r>
          </w:p>
        </w:tc>
      </w:tr>
    </w:tbl>
    <w:p w14:paraId="3B8F2C28" w14:textId="4179B65B" w:rsidR="00862AAF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0EA">
        <w:rPr>
          <w:rFonts w:ascii="Times New Roman" w:eastAsia="Times New Roman" w:hAnsi="Times New Roman" w:cs="Times New Roman"/>
          <w:b/>
          <w:bCs/>
          <w:sz w:val="28"/>
          <w:szCs w:val="28"/>
        </w:rPr>
        <w:t>7. Дата составления текстовых пояснений</w:t>
      </w: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0529BF">
        <w:rPr>
          <w:rFonts w:ascii="Times New Roman" w:eastAsia="Times New Roman" w:hAnsi="Times New Roman" w:cs="Times New Roman"/>
          <w:sz w:val="28"/>
          <w:szCs w:val="28"/>
          <w:lang w:val="ru-RU"/>
        </w:rPr>
        <w:t>30</w:t>
      </w: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 марта 2026 года.</w:t>
      </w:r>
    </w:p>
    <w:p w14:paraId="7D3D7F76" w14:textId="3B4FDFC8" w:rsidR="00766227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48D6B3" w14:textId="3F6138BD" w:rsidR="00766227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CA8ED8" w14:textId="68D6B953" w:rsidR="00766227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90A296" w14:textId="77777777" w:rsidR="00766227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9DDF9B" w14:textId="0338D6C3" w:rsidR="00862AAF" w:rsidRPr="002A40EA" w:rsidRDefault="00766227" w:rsidP="00421CBD">
      <w:pPr>
        <w:shd w:val="clear" w:color="auto" w:fill="FFFFFF"/>
        <w:spacing w:before="2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A40EA">
        <w:rPr>
          <w:rFonts w:ascii="Times New Roman" w:eastAsia="Times New Roman" w:hAnsi="Times New Roman" w:cs="Times New Roman"/>
          <w:sz w:val="28"/>
          <w:szCs w:val="28"/>
        </w:rPr>
        <w:t xml:space="preserve">Генеральный директор                ___________                        </w:t>
      </w:r>
      <w:r w:rsidR="00254EE7">
        <w:rPr>
          <w:rFonts w:ascii="Times New Roman" w:eastAsia="Times New Roman" w:hAnsi="Times New Roman" w:cs="Times New Roman"/>
          <w:sz w:val="28"/>
          <w:szCs w:val="28"/>
          <w:lang w:val="ru-RU"/>
        </w:rPr>
        <w:t>Денисов Ю.А.</w:t>
      </w:r>
      <w:bookmarkStart w:id="0" w:name="_GoBack"/>
      <w:bookmarkEnd w:id="0"/>
    </w:p>
    <w:p w14:paraId="09983ECA" w14:textId="77777777" w:rsidR="00862AAF" w:rsidRPr="002A40EA" w:rsidRDefault="00862AAF" w:rsidP="00421CBD">
      <w:pPr>
        <w:spacing w:before="2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862AAF" w:rsidRPr="002A40E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00C665" w14:textId="77777777" w:rsidR="006344F9" w:rsidRDefault="006344F9" w:rsidP="00421CBD">
      <w:pPr>
        <w:spacing w:line="240" w:lineRule="auto"/>
      </w:pPr>
      <w:r>
        <w:separator/>
      </w:r>
    </w:p>
  </w:endnote>
  <w:endnote w:type="continuationSeparator" w:id="0">
    <w:p w14:paraId="50AEEC6E" w14:textId="77777777" w:rsidR="006344F9" w:rsidRDefault="006344F9" w:rsidP="00421C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B178316D-24B3-4EA3-85FA-0D99E11DF883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2" w:fontKey="{D9F76EB1-EF6D-4535-A011-2F891A90BF8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99A92" w14:textId="77777777" w:rsidR="006344F9" w:rsidRDefault="006344F9" w:rsidP="00421CBD">
      <w:pPr>
        <w:spacing w:line="240" w:lineRule="auto"/>
      </w:pPr>
      <w:r>
        <w:separator/>
      </w:r>
    </w:p>
  </w:footnote>
  <w:footnote w:type="continuationSeparator" w:id="0">
    <w:p w14:paraId="4945F0C6" w14:textId="77777777" w:rsidR="006344F9" w:rsidRDefault="006344F9" w:rsidP="00421CB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F6521"/>
    <w:multiLevelType w:val="multilevel"/>
    <w:tmpl w:val="F97CC582"/>
    <w:lvl w:ilvl="0">
      <w:start w:val="6"/>
      <w:numFmt w:val="bullet"/>
      <w:lvlText w:val=""/>
      <w:lvlJc w:val="left"/>
      <w:pPr>
        <w:ind w:left="720" w:hanging="360"/>
      </w:pPr>
      <w:rPr>
        <w:rFonts w:ascii="Arial" w:eastAsia="Arial" w:hAnsi="Arial" w:cs="Arial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3C63FB2"/>
    <w:multiLevelType w:val="multilevel"/>
    <w:tmpl w:val="7C182B90"/>
    <w:lvl w:ilvl="0">
      <w:start w:val="3"/>
      <w:numFmt w:val="bullet"/>
      <w:lvlText w:val=""/>
      <w:lvlJc w:val="left"/>
      <w:pPr>
        <w:ind w:left="720" w:hanging="360"/>
      </w:pPr>
      <w:rPr>
        <w:rFonts w:ascii="Arial" w:eastAsia="Arial" w:hAnsi="Arial" w:cs="Arial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7B35923"/>
    <w:multiLevelType w:val="multilevel"/>
    <w:tmpl w:val="CD920ACC"/>
    <w:lvl w:ilvl="0">
      <w:start w:val="4"/>
      <w:numFmt w:val="bullet"/>
      <w:lvlText w:val=""/>
      <w:lvlJc w:val="left"/>
      <w:pPr>
        <w:ind w:left="720" w:hanging="360"/>
      </w:pPr>
      <w:rPr>
        <w:rFonts w:ascii="Arial" w:eastAsia="Arial" w:hAnsi="Arial" w:cs="Arial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D5A47EE"/>
    <w:multiLevelType w:val="multilevel"/>
    <w:tmpl w:val="6FA0E9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1E57EDE"/>
    <w:multiLevelType w:val="multilevel"/>
    <w:tmpl w:val="CED07A62"/>
    <w:lvl w:ilvl="0">
      <w:start w:val="5"/>
      <w:numFmt w:val="bullet"/>
      <w:lvlText w:val=""/>
      <w:lvlJc w:val="left"/>
      <w:pPr>
        <w:ind w:left="720" w:hanging="360"/>
      </w:pPr>
      <w:rPr>
        <w:rFonts w:ascii="Arial" w:eastAsia="Arial" w:hAnsi="Arial" w:cs="Arial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AAF"/>
    <w:rsid w:val="000529BF"/>
    <w:rsid w:val="00096D0B"/>
    <w:rsid w:val="001119FB"/>
    <w:rsid w:val="002361B6"/>
    <w:rsid w:val="00254EE7"/>
    <w:rsid w:val="002A40EA"/>
    <w:rsid w:val="002E78CC"/>
    <w:rsid w:val="00421CBD"/>
    <w:rsid w:val="005851EE"/>
    <w:rsid w:val="006344F9"/>
    <w:rsid w:val="00681C94"/>
    <w:rsid w:val="006915AB"/>
    <w:rsid w:val="00716F6A"/>
    <w:rsid w:val="00766227"/>
    <w:rsid w:val="00862AAF"/>
    <w:rsid w:val="008752DF"/>
    <w:rsid w:val="00970C9E"/>
    <w:rsid w:val="00AE04C4"/>
    <w:rsid w:val="00B12C86"/>
    <w:rsid w:val="00B1638B"/>
    <w:rsid w:val="00CF2E7F"/>
    <w:rsid w:val="00DB2AB8"/>
    <w:rsid w:val="00F561A6"/>
    <w:rsid w:val="00F6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F1A9C"/>
  <w15:docId w15:val="{EA0C64BD-A62E-467A-AD5D-DCF85D860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paragraph" w:styleId="a7">
    <w:name w:val="header"/>
    <w:basedOn w:val="a"/>
    <w:link w:val="a8"/>
    <w:uiPriority w:val="99"/>
    <w:unhideWhenUsed/>
    <w:rsid w:val="00421CB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1CBD"/>
  </w:style>
  <w:style w:type="paragraph" w:styleId="a9">
    <w:name w:val="footer"/>
    <w:basedOn w:val="a"/>
    <w:link w:val="aa"/>
    <w:uiPriority w:val="99"/>
    <w:unhideWhenUsed/>
    <w:rsid w:val="00421CBD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21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Николаевна</dc:creator>
  <cp:lastModifiedBy>Trushkina</cp:lastModifiedBy>
  <cp:revision>6</cp:revision>
  <dcterms:created xsi:type="dcterms:W3CDTF">2026-03-30T09:05:00Z</dcterms:created>
  <dcterms:modified xsi:type="dcterms:W3CDTF">2026-03-30T10:15:00Z</dcterms:modified>
</cp:coreProperties>
</file>